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273FD8" w:rsidTr="00F14543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01A9A">
              <w:rPr>
                <w:rFonts w:ascii="Times New Roman" w:hAnsi="Times New Roman" w:cs="Times New Roman"/>
                <w:color w:val="FFFF00"/>
              </w:rPr>
              <w:t>ГОРЯЧАЯ ЛИНИЯ ДЛЯ ПОСТАДАВШИХ ОТ НАСИЛИЯ</w:t>
            </w:r>
          </w:p>
          <w:p w:rsidR="00501A9A" w:rsidRPr="00501A9A" w:rsidRDefault="00501A9A" w:rsidP="00501A9A">
            <w:pPr>
              <w:pStyle w:val="ab"/>
              <w:rPr>
                <w:rFonts w:ascii="Times New Roman" w:hAnsi="Times New Roman" w:cs="Times New Roman"/>
              </w:rPr>
            </w:pPr>
            <w:r w:rsidRPr="00501A9A">
              <w:rPr>
                <w:rFonts w:ascii="Times New Roman" w:hAnsi="Times New Roman" w:cs="Times New Roman"/>
              </w:rPr>
              <w:t>+375 29 610 - 83 - 55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A9A">
              <w:rPr>
                <w:rFonts w:ascii="Times New Roman" w:hAnsi="Times New Roman" w:cs="Times New Roman"/>
              </w:rPr>
              <w:t>круглосуточно/анонимно/бесплатно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01A9A">
              <w:rPr>
                <w:rFonts w:ascii="Times New Roman" w:hAnsi="Times New Roman" w:cs="Times New Roman"/>
                <w:color w:val="FFFF00"/>
              </w:rPr>
              <w:t>ОНЛАЙН – КОНСУЛЬТИРОВАНИЕ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A9A">
              <w:rPr>
                <w:rFonts w:ascii="Times New Roman" w:hAnsi="Times New Roman" w:cs="Times New Roman"/>
              </w:rPr>
              <w:t>Информационная, психологическая, правовая поддержка детям, пострадавшим от насилия в интернете, а также родителям и другим свидетелям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A9A">
              <w:rPr>
                <w:rFonts w:ascii="Times New Roman" w:hAnsi="Times New Roman" w:cs="Times New Roman"/>
              </w:rPr>
              <w:t>WWW.KIDS.POMOGUT.BY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A9A">
              <w:rPr>
                <w:rFonts w:ascii="Times New Roman" w:hAnsi="Times New Roman" w:cs="Times New Roman"/>
              </w:rPr>
              <w:t>Детская телефонная линия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1A9A">
              <w:rPr>
                <w:rFonts w:ascii="Times New Roman" w:hAnsi="Times New Roman" w:cs="Times New Roman"/>
                <w:b/>
                <w:u w:val="single"/>
              </w:rPr>
              <w:t>8 (801) 100 - 16 -11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01A9A">
              <w:rPr>
                <w:rFonts w:ascii="Times New Roman" w:hAnsi="Times New Roman" w:cs="Times New Roman"/>
                <w:color w:val="FFFF00"/>
              </w:rPr>
              <w:t>«Телефон доверия»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501A9A">
              <w:rPr>
                <w:rFonts w:ascii="Times New Roman" w:hAnsi="Times New Roman" w:cs="Times New Roman"/>
                <w:color w:val="FFFF00"/>
              </w:rPr>
              <w:t>для детей и подростков</w:t>
            </w:r>
          </w:p>
          <w:p w:rsidR="00501A9A" w:rsidRPr="00501A9A" w:rsidRDefault="00501A9A" w:rsidP="00501A9A">
            <w:pPr>
              <w:pStyle w:val="ab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1A9A">
              <w:rPr>
                <w:rFonts w:ascii="Times New Roman" w:hAnsi="Times New Roman" w:cs="Times New Roman"/>
                <w:b/>
                <w:u w:val="single"/>
              </w:rPr>
              <w:t>8 (017) 263 - 03 - 03</w:t>
            </w:r>
          </w:p>
          <w:p w:rsidR="00501A9A" w:rsidRDefault="00501A9A" w:rsidP="00501A9A">
            <w:pPr>
              <w:pStyle w:val="ab"/>
              <w:spacing w:after="0"/>
              <w:ind w:right="0"/>
              <w:jc w:val="center"/>
              <w:rPr>
                <w:rFonts w:ascii="Times New Roman" w:hAnsi="Times New Roman" w:cs="Times New Roman"/>
              </w:rPr>
            </w:pPr>
            <w:r w:rsidRPr="00501A9A">
              <w:rPr>
                <w:rFonts w:ascii="Times New Roman" w:hAnsi="Times New Roman" w:cs="Times New Roman"/>
              </w:rPr>
              <w:t>круглосуточно/анонимно/</w:t>
            </w:r>
          </w:p>
          <w:p w:rsidR="00F14543" w:rsidRPr="00F14543" w:rsidRDefault="00501A9A" w:rsidP="00501A9A">
            <w:pPr>
              <w:pStyle w:val="ab"/>
              <w:spacing w:after="0"/>
              <w:ind w:right="0"/>
              <w:jc w:val="center"/>
              <w:rPr>
                <w:rFonts w:ascii="Tempus Sans ITC" w:hAnsi="Tempus Sans ITC"/>
              </w:rPr>
            </w:pPr>
            <w:r w:rsidRPr="00501A9A">
              <w:rPr>
                <w:rFonts w:ascii="Times New Roman" w:hAnsi="Times New Roman" w:cs="Times New Roman"/>
              </w:rPr>
              <w:t>бесплатно с городского</w:t>
            </w:r>
            <w:r w:rsidRPr="00501A9A">
              <w:rPr>
                <w:rFonts w:ascii="Tempus Sans ITC" w:hAnsi="Tempus Sans ITC"/>
              </w:rPr>
              <w:t xml:space="preserve"> </w:t>
            </w:r>
            <w:r w:rsidRPr="00501A9A">
              <w:rPr>
                <w:rFonts w:ascii="Cambria" w:hAnsi="Cambria" w:cs="Cambria"/>
              </w:rPr>
              <w:t>телефона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F14543" w:rsidRPr="00501A9A" w:rsidRDefault="00F14543" w:rsidP="00F14543">
            <w:pPr>
              <w:pStyle w:val="ae"/>
              <w:ind w:left="113" w:right="113"/>
              <w:jc w:val="center"/>
              <w:rPr>
                <w:sz w:val="40"/>
                <w:szCs w:val="40"/>
              </w:rPr>
            </w:pPr>
            <w:r w:rsidRPr="00501A9A">
              <w:rPr>
                <w:b/>
                <w:bCs/>
                <w:sz w:val="40"/>
                <w:szCs w:val="40"/>
              </w:rPr>
              <w:t>ПОМОЩЬ ДЕТЯМ, ПОСТРАДАВШИМ ОТ НАСИЛИЯ И ЖЕСТОКОГО ОБРАЩЕНИЯ,</w:t>
            </w:r>
          </w:p>
          <w:p w:rsidR="00F14543" w:rsidRPr="00501A9A" w:rsidRDefault="00F14543" w:rsidP="00F14543">
            <w:pPr>
              <w:pStyle w:val="ae"/>
              <w:ind w:left="113" w:right="113"/>
              <w:jc w:val="center"/>
              <w:rPr>
                <w:sz w:val="40"/>
                <w:szCs w:val="40"/>
              </w:rPr>
            </w:pPr>
            <w:r w:rsidRPr="00501A9A">
              <w:rPr>
                <w:sz w:val="40"/>
                <w:szCs w:val="40"/>
              </w:rPr>
              <w:t>А ТАКЖЕ ДЕТЯМ – СВИДЕТЕЛЯМ НАСИЛИЯ</w:t>
            </w:r>
          </w:p>
          <w:p w:rsidR="00CF1B6A" w:rsidRPr="00273FD8" w:rsidRDefault="00CF1B6A" w:rsidP="00F14543">
            <w:pPr>
              <w:pStyle w:val="ae"/>
              <w:ind w:left="113" w:right="113"/>
              <w:jc w:val="center"/>
            </w:pP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501A9A" w:rsidRPr="00501A9A" w:rsidRDefault="00501A9A" w:rsidP="00501A9A">
            <w:pPr>
              <w:spacing w:line="259" w:lineRule="auto"/>
              <w:jc w:val="center"/>
              <w:rPr>
                <w:rFonts w:ascii="SimSun" w:eastAsia="SimSun" w:hAnsi="SimSun" w:cs="Times New Roman"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01A9A">
              <w:rPr>
                <w:rFonts w:ascii="SimSun" w:eastAsia="SimSun" w:hAnsi="SimSun" w:cs="Times New Roman"/>
                <w:b/>
                <w:bCs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  <w:t>«Телефон доверия»</w:t>
            </w:r>
          </w:p>
          <w:p w:rsidR="00501A9A" w:rsidRPr="00501A9A" w:rsidRDefault="00501A9A" w:rsidP="00501A9A">
            <w:pPr>
              <w:spacing w:line="259" w:lineRule="auto"/>
              <w:jc w:val="center"/>
              <w:rPr>
                <w:rFonts w:ascii="SimSun" w:eastAsia="SimSun" w:hAnsi="SimSun" w:cs="Times New Roman"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01A9A">
              <w:rPr>
                <w:rFonts w:ascii="SimSun" w:eastAsia="SimSun" w:hAnsi="SimSun" w:cs="Times New Roman"/>
                <w:b/>
                <w:bCs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  <w:t>для детей и подростков</w:t>
            </w:r>
          </w:p>
          <w:p w:rsidR="00501A9A" w:rsidRPr="00501A9A" w:rsidRDefault="00501A9A" w:rsidP="00501A9A">
            <w:pPr>
              <w:spacing w:line="259" w:lineRule="auto"/>
              <w:jc w:val="center"/>
              <w:rPr>
                <w:rFonts w:ascii="SimSun" w:eastAsia="SimSun" w:hAnsi="SimSun" w:cs="Times New Roman"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501A9A">
              <w:rPr>
                <w:rFonts w:ascii="SimSun" w:eastAsia="SimSun" w:hAnsi="SimSun" w:cs="Times New Roman"/>
                <w:color w:val="FF0000"/>
                <w:kern w:val="0"/>
                <w:sz w:val="24"/>
                <w:szCs w:val="24"/>
                <w:lang w:eastAsia="en-US"/>
                <w14:ligatures w14:val="none"/>
              </w:rPr>
              <w:t>8 (017) 263 - 03 - 03</w:t>
            </w:r>
          </w:p>
          <w:p w:rsidR="00CF1B6A" w:rsidRPr="00501A9A" w:rsidRDefault="00CF1B6A" w:rsidP="00501A9A">
            <w:pPr>
              <w:pStyle w:val="ad"/>
              <w:ind w:right="113"/>
              <w:rPr>
                <w:rFonts w:ascii="SimSun" w:eastAsia="SimSun" w:hAnsi="SimSu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501A9A" w:rsidRDefault="00CF1B6A" w:rsidP="00F14543">
            <w:pPr>
              <w:pStyle w:val="ad"/>
              <w:ind w:right="113"/>
              <w:rPr>
                <w:rFonts w:ascii="SimSun" w:eastAsia="SimSun" w:hAnsi="SimSun"/>
                <w:color w:val="FF0000"/>
                <w:sz w:val="24"/>
                <w:szCs w:val="24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583B23" w:rsidRPr="00583B23" w:rsidRDefault="00583B23" w:rsidP="00583B23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B050"/>
                <w:kern w:val="28"/>
              </w:rPr>
            </w:pPr>
            <w:r w:rsidRPr="00583B23">
              <w:rPr>
                <w:rFonts w:ascii="Times New Roman" w:eastAsiaTheme="majorEastAsia" w:hAnsi="Times New Roman" w:cs="Times New Roman"/>
                <w:b/>
                <w:bCs/>
                <w:color w:val="00B050"/>
                <w:kern w:val="28"/>
              </w:rPr>
              <w:t>ГУО «Средняя школа №1 г.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B050"/>
                <w:kern w:val="28"/>
              </w:rPr>
              <w:t xml:space="preserve"> </w:t>
            </w:r>
            <w:r w:rsidRPr="00583B23">
              <w:rPr>
                <w:rFonts w:ascii="Times New Roman" w:eastAsiaTheme="majorEastAsia" w:hAnsi="Times New Roman" w:cs="Times New Roman"/>
                <w:b/>
                <w:bCs/>
                <w:color w:val="00B050"/>
                <w:kern w:val="28"/>
              </w:rPr>
              <w:t>Полоцка»</w:t>
            </w:r>
          </w:p>
          <w:p w:rsidR="00583B23" w:rsidRDefault="00583B23" w:rsidP="00583B23">
            <w:pPr>
              <w:spacing w:after="0"/>
              <w:jc w:val="center"/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</w:pPr>
          </w:p>
          <w:p w:rsidR="00F14543" w:rsidRDefault="00F14543" w:rsidP="008410BF">
            <w:pPr>
              <w:jc w:val="center"/>
              <w:rPr>
                <w:rFonts w:eastAsiaTheme="majorEastAsia" w:cstheme="majorBidi"/>
                <w:b/>
                <w:bCs/>
                <w:color w:val="00B050"/>
                <w:kern w:val="28"/>
                <w:sz w:val="60"/>
              </w:rPr>
            </w:pP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ПРОФИЛАКТИКА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ПРЕСТУПЛЕНИЙ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ПРОТИВ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ПОЛОВОЙ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НЕПРИКОСНОВЕННОСТИ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И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ПОЛОВОЙ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СВОБОДЫ</w:t>
            </w:r>
            <w:r w:rsidRPr="00F14543">
              <w:rPr>
                <w:rFonts w:ascii="Tempus Sans ITC" w:eastAsiaTheme="majorEastAsia" w:hAnsi="Tempus Sans ITC" w:cstheme="majorBidi"/>
                <w:b/>
                <w:bCs/>
                <w:color w:val="00B050"/>
                <w:kern w:val="28"/>
                <w:sz w:val="28"/>
                <w:szCs w:val="28"/>
              </w:rPr>
              <w:t xml:space="preserve"> </w:t>
            </w:r>
            <w:r w:rsidRPr="00F14543">
              <w:rPr>
                <w:rFonts w:ascii="Cambria" w:eastAsiaTheme="majorEastAsia" w:hAnsi="Cambria" w:cs="Cambria"/>
                <w:b/>
                <w:bCs/>
                <w:color w:val="00B050"/>
                <w:kern w:val="28"/>
                <w:sz w:val="28"/>
                <w:szCs w:val="28"/>
              </w:rPr>
              <w:t>НЕСОВЕРШЕННОЛЕТНИХ</w:t>
            </w:r>
            <w:r w:rsidRPr="00F14543">
              <w:rPr>
                <w:rFonts w:eastAsiaTheme="majorEastAsia" w:cstheme="majorBidi"/>
                <w:b/>
                <w:bCs/>
                <w:color w:val="00B050"/>
                <w:kern w:val="28"/>
                <w:sz w:val="60"/>
              </w:rPr>
              <w:t xml:space="preserve"> </w:t>
            </w:r>
          </w:p>
          <w:p w:rsidR="008410BF" w:rsidRDefault="00F14543" w:rsidP="00F14543">
            <w:pPr>
              <w:jc w:val="center"/>
              <w:rPr>
                <w:rFonts w:eastAsiaTheme="majorEastAsia" w:cstheme="majorBidi"/>
                <w:b/>
                <w:bCs/>
                <w:color w:val="00B050"/>
                <w:kern w:val="28"/>
                <w:sz w:val="60"/>
              </w:rPr>
            </w:pPr>
            <w:r w:rsidRPr="00F14543">
              <w:rPr>
                <w:noProof/>
                <w:lang w:eastAsia="ru-RU"/>
              </w:rPr>
              <w:drawing>
                <wp:inline distT="0" distB="0" distL="0" distR="0" wp14:anchorId="46FD1AF8" wp14:editId="77007987">
                  <wp:extent cx="2299114" cy="3247954"/>
                  <wp:effectExtent l="0" t="0" r="6350" b="0"/>
                  <wp:docPr id="1" name="Рисунок 1" descr="Профилактика преступлений против половой неприкосновенности © Детский сад  №8г.Баранов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илактика преступлений против половой неприкосновенности © Детский сад  №8г.Баранов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6" cy="32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0BF" w:rsidRDefault="008410BF" w:rsidP="008410BF">
            <w:pPr>
              <w:tabs>
                <w:tab w:val="left" w:pos="915"/>
              </w:tabs>
              <w:jc w:val="center"/>
              <w:rPr>
                <w:rFonts w:ascii="Times New Roman" w:eastAsiaTheme="majorEastAsia" w:hAnsi="Times New Roman" w:cs="Times New Roman"/>
                <w:color w:val="62A63C" w:themeColor="accent3" w:themeShade="BF"/>
                <w:sz w:val="24"/>
                <w:szCs w:val="24"/>
              </w:rPr>
            </w:pPr>
          </w:p>
          <w:p w:rsidR="008410BF" w:rsidRDefault="008410BF" w:rsidP="008410BF">
            <w:pPr>
              <w:tabs>
                <w:tab w:val="left" w:pos="915"/>
              </w:tabs>
              <w:jc w:val="center"/>
              <w:rPr>
                <w:rFonts w:ascii="Times New Roman" w:eastAsiaTheme="majorEastAsia" w:hAnsi="Times New Roman" w:cs="Times New Roman"/>
                <w:color w:val="62A63C" w:themeColor="accent3" w:themeShade="BF"/>
                <w:sz w:val="24"/>
                <w:szCs w:val="24"/>
              </w:rPr>
            </w:pPr>
          </w:p>
          <w:p w:rsidR="008410BF" w:rsidRDefault="008410BF" w:rsidP="008410BF">
            <w:pPr>
              <w:tabs>
                <w:tab w:val="left" w:pos="915"/>
              </w:tabs>
              <w:jc w:val="center"/>
              <w:rPr>
                <w:rFonts w:ascii="Times New Roman" w:eastAsiaTheme="majorEastAsia" w:hAnsi="Times New Roman" w:cs="Times New Roman"/>
                <w:color w:val="62A63C" w:themeColor="accent3" w:themeShade="BF"/>
                <w:sz w:val="24"/>
                <w:szCs w:val="24"/>
              </w:rPr>
            </w:pPr>
          </w:p>
          <w:p w:rsidR="00CF1B6A" w:rsidRPr="008410BF" w:rsidRDefault="008410BF" w:rsidP="008410BF">
            <w:pPr>
              <w:tabs>
                <w:tab w:val="left" w:pos="915"/>
              </w:tabs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410BF">
              <w:rPr>
                <w:rFonts w:ascii="Times New Roman" w:eastAsiaTheme="majorEastAsia" w:hAnsi="Times New Roman" w:cs="Times New Roman"/>
                <w:color w:val="62A63C" w:themeColor="accent3" w:themeShade="BF"/>
                <w:sz w:val="24"/>
                <w:szCs w:val="24"/>
              </w:rPr>
              <w:t>2023 г</w:t>
            </w:r>
          </w:p>
        </w:tc>
      </w:tr>
    </w:tbl>
    <w:p w:rsidR="00CE1E3B" w:rsidRPr="00273FD8" w:rsidRDefault="00CE1E3B" w:rsidP="00D91EF3">
      <w:pPr>
        <w:pStyle w:val="affffd"/>
      </w:pPr>
      <w:bookmarkStart w:id="0" w:name="_GoBack"/>
      <w:bookmarkEnd w:id="0"/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RPr="00273FD8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46316E" w:rsidP="0037743C">
            <w:r>
              <w:rPr>
                <w:noProof/>
                <w:lang w:eastAsia="ru-RU"/>
              </w:rPr>
              <w:drawing>
                <wp:inline distT="0" distB="0" distL="0" distR="0" wp14:anchorId="1D5402FD" wp14:editId="3B0370F0">
                  <wp:extent cx="2783840" cy="1821502"/>
                  <wp:effectExtent l="0" t="0" r="0" b="7620"/>
                  <wp:docPr id="2" name="Рисунок 2" descr="https://vilcrb.by/images/gallery/528/sm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lcrb.by/images/gallery/528/sm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82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16E" w:rsidRDefault="0046316E" w:rsidP="0046316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u w:val="single"/>
                <w:lang w:eastAsia="en-US"/>
                <w14:ligatures w14:val="none"/>
              </w:rPr>
            </w:pPr>
            <w:r w:rsidRPr="0046316E">
              <w:rPr>
                <w:rFonts w:ascii="Times New Roman" w:eastAsia="Calibri" w:hAnsi="Times New Roman" w:cs="Times New Roman"/>
                <w:b/>
                <w:color w:val="auto"/>
                <w:kern w:val="0"/>
                <w:highlight w:val="yellow"/>
                <w:lang w:eastAsia="en-US"/>
                <w14:ligatures w14:val="none"/>
              </w:rPr>
              <w:t>Дети – самые уязвимые жертвы преступлений против половой неприкосновенности</w:t>
            </w:r>
          </w:p>
          <w:p w:rsidR="0046316E" w:rsidRPr="0046316E" w:rsidRDefault="0046316E" w:rsidP="004631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  <w14:ligatures w14:val="none"/>
              </w:rPr>
            </w:pPr>
            <w:r w:rsidRPr="0046316E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  <w14:ligatures w14:val="none"/>
              </w:rPr>
              <w:t>Развращение, раннее вступление в половую связь, сексуальное насилие влекут за собой серьезные проблемы социального, психологического характера, не говоря уже о вреде физическому и психическому здоровью развивающегося организма. Благополучие в семье, лекции в школах по половому воспитанию, ограничение доступа к вредным информационным ресурсам, не могут быть 100% гарантам того, что Ваш ребенок не попадет в число нежелательной статистики. Мало ребенка воспитать целомудренным, дать знания и навыки безопасного поведения, необходимо установить с ним максимально доверительные отношения, чтобы он в подобной ситуации не остался один на один со своей проблемой и был вовремя защищен.</w:t>
            </w:r>
          </w:p>
          <w:p w:rsidR="0037743C" w:rsidRPr="00273FD8" w:rsidRDefault="0037743C" w:rsidP="0037743C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501A9A" w:rsidRPr="00501A9A" w:rsidRDefault="00501A9A" w:rsidP="0046316E">
            <w:pPr>
              <w:pStyle w:val="23"/>
              <w:jc w:val="center"/>
              <w:rPr>
                <w:color w:val="FFFF00"/>
                <w:u w:val="single"/>
              </w:rPr>
            </w:pPr>
            <w:r w:rsidRPr="00501A9A">
              <w:rPr>
                <w:color w:val="FFFF00"/>
                <w:u w:val="single"/>
              </w:rPr>
              <w:t>К преступлениям против половой неприкосновенности и половой свободы личности относятся: изнасилование, насильственные действия сексуального характера, половое сношенные и иные действия сексуального характера с лицом, не достигшим шестнадцатилетнего возраста, развратные действия, понуждения к действиям сексуального характера и др.</w:t>
            </w:r>
          </w:p>
          <w:p w:rsidR="0037743C" w:rsidRPr="00273FD8" w:rsidRDefault="0037743C" w:rsidP="0037743C">
            <w:pPr>
              <w:pStyle w:val="23"/>
            </w:pPr>
          </w:p>
          <w:p w:rsidR="0046316E" w:rsidRPr="0046316E" w:rsidRDefault="0046316E" w:rsidP="0046316E">
            <w:pPr>
              <w:jc w:val="both"/>
              <w:rPr>
                <w:rFonts w:ascii="Times New Roman" w:eastAsia="Calibri" w:hAnsi="Times New Roman" w:cs="Times New Roman"/>
                <w:i/>
                <w:color w:val="426F28" w:themeColor="accent3" w:themeShade="80"/>
                <w:kern w:val="0"/>
                <w:sz w:val="32"/>
                <w:szCs w:val="32"/>
                <w:lang w:eastAsia="en-US"/>
                <w14:ligatures w14:val="none"/>
              </w:rPr>
            </w:pPr>
            <w:r w:rsidRPr="0046316E">
              <w:rPr>
                <w:rFonts w:ascii="Times New Roman" w:eastAsia="Calibri" w:hAnsi="Times New Roman" w:cs="Times New Roman"/>
                <w:i/>
                <w:color w:val="426F28" w:themeColor="accent3" w:themeShade="80"/>
                <w:kern w:val="0"/>
                <w:sz w:val="32"/>
                <w:szCs w:val="32"/>
                <w:lang w:eastAsia="en-US"/>
                <w14:ligatures w14:val="none"/>
              </w:rPr>
              <w:t>В соответствии со ст.168 УК РБ, совершеннолетний человек (с 18 лет), должен будет отвечать по закону за любые половые контакты с людьми, не достигшими 16 лет. Даже за половые отношения по обоюдному согласию!!!</w:t>
            </w:r>
          </w:p>
          <w:p w:rsidR="00075279" w:rsidRPr="0046316E" w:rsidRDefault="00075279" w:rsidP="0037743C">
            <w:pPr>
              <w:rPr>
                <w:color w:val="426F28" w:themeColor="accent3" w:themeShade="80"/>
                <w:sz w:val="32"/>
                <w:szCs w:val="32"/>
              </w:rPr>
            </w:pPr>
          </w:p>
          <w:p w:rsidR="0037743C" w:rsidRPr="00273FD8" w:rsidRDefault="0037743C" w:rsidP="0037743C">
            <w:pPr>
              <w:pStyle w:val="1"/>
            </w:pPr>
          </w:p>
          <w:p w:rsidR="0037743C" w:rsidRPr="00273FD8" w:rsidRDefault="0037743C" w:rsidP="0046316E"/>
        </w:tc>
        <w:tc>
          <w:tcPr>
            <w:tcW w:w="4579" w:type="dxa"/>
            <w:tcMar>
              <w:left w:w="432" w:type="dxa"/>
            </w:tcMar>
          </w:tcPr>
          <w:p w:rsidR="0037743C" w:rsidRPr="00501A9A" w:rsidRDefault="00501A9A" w:rsidP="00501A9A">
            <w:pPr>
              <w:jc w:val="center"/>
              <w:rPr>
                <w:rFonts w:ascii="Tahoma" w:hAnsi="Tahoma" w:cs="Tahoma"/>
                <w:b/>
              </w:rPr>
            </w:pPr>
            <w:r w:rsidRPr="00501A9A">
              <w:rPr>
                <w:rFonts w:ascii="Tahoma" w:eastAsiaTheme="majorEastAsia" w:hAnsi="Tahoma" w:cs="Tahoma"/>
                <w:b/>
                <w:bCs/>
              </w:rPr>
              <w:t>Согласно определению Конституции РБ, статья 25, каждому человеку гарантируется защита его прав и свобод, в том числе право на половую свободу и половую неприкосновенность.</w:t>
            </w:r>
          </w:p>
          <w:p w:rsidR="00501A9A" w:rsidRPr="00171675" w:rsidRDefault="00501A9A" w:rsidP="00501A9A">
            <w:pPr>
              <w:jc w:val="both"/>
              <w:rPr>
                <w:rFonts w:ascii="Times New Roman" w:hAnsi="Times New Roman" w:cs="Times New Roman"/>
              </w:rPr>
            </w:pPr>
            <w:r w:rsidRPr="001A00D7">
              <w:rPr>
                <w:rFonts w:ascii="Times New Roman" w:hAnsi="Times New Roman" w:cs="Times New Roman"/>
                <w:b/>
                <w:u w:val="single"/>
              </w:rPr>
              <w:t xml:space="preserve">Половая свобода </w:t>
            </w:r>
            <w:r w:rsidRPr="00171675">
              <w:rPr>
                <w:rFonts w:ascii="Times New Roman" w:hAnsi="Times New Roman" w:cs="Times New Roman"/>
              </w:rPr>
              <w:t>- свобода сексуального самоопределения человека, а точнее право самостоятельно и без принуждения выбирать партнеров, форму интимных отношений.</w:t>
            </w:r>
          </w:p>
          <w:p w:rsidR="00501A9A" w:rsidRPr="00171675" w:rsidRDefault="00501A9A" w:rsidP="00501A9A">
            <w:pPr>
              <w:jc w:val="both"/>
              <w:rPr>
                <w:rFonts w:ascii="Times New Roman" w:hAnsi="Times New Roman" w:cs="Times New Roman"/>
              </w:rPr>
            </w:pPr>
            <w:r w:rsidRPr="001A00D7">
              <w:rPr>
                <w:rFonts w:ascii="Times New Roman" w:hAnsi="Times New Roman" w:cs="Times New Roman"/>
                <w:b/>
                <w:u w:val="single"/>
              </w:rPr>
              <w:t>Половая неприкосновенность</w:t>
            </w:r>
            <w:r w:rsidRPr="00171675">
              <w:rPr>
                <w:rFonts w:ascii="Times New Roman" w:hAnsi="Times New Roman" w:cs="Times New Roman"/>
              </w:rPr>
              <w:t xml:space="preserve"> – правовая защищенность от сексуального посягательства, полный запрет на совершение действий сексуального характера в отношении другого лица. Данное понятие применимо только к лицам, не достигшим 16 лет (ст. 168 УК РБ), так как вступление в половые отношения до 16 лет является преступлением!</w:t>
            </w:r>
          </w:p>
          <w:p w:rsidR="00501A9A" w:rsidRPr="00171675" w:rsidRDefault="00501A9A" w:rsidP="00501A9A">
            <w:pPr>
              <w:jc w:val="both"/>
              <w:rPr>
                <w:rFonts w:ascii="Times New Roman" w:hAnsi="Times New Roman" w:cs="Times New Roman"/>
              </w:rPr>
            </w:pPr>
            <w:r w:rsidRPr="001A00D7">
              <w:rPr>
                <w:rFonts w:ascii="Times New Roman" w:hAnsi="Times New Roman" w:cs="Times New Roman"/>
                <w:b/>
                <w:u w:val="single"/>
              </w:rPr>
              <w:t>Возраст сексуального согласия</w:t>
            </w:r>
            <w:r w:rsidRPr="00171675">
              <w:rPr>
                <w:rFonts w:ascii="Times New Roman" w:hAnsi="Times New Roman" w:cs="Times New Roman"/>
              </w:rPr>
              <w:t xml:space="preserve"> -  возраст, начиная с которого человек считается способным дать четкое информированное согласие на секс с другим лицом. Секс – это про согласие, добровольность, уважение партнера и его/ее желаний, безопасность, равноправие. Секс предусматривает возможность каждого сказать: «НЕТ» в любой момент. Все остальное – это насилие и принуждение!</w:t>
            </w:r>
          </w:p>
          <w:p w:rsidR="0037743C" w:rsidRPr="00501A9A" w:rsidRDefault="0037743C">
            <w:pPr>
              <w:pStyle w:val="-"/>
              <w:rPr>
                <w:b/>
              </w:rPr>
            </w:pP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B6" w:rsidRDefault="007D38B6" w:rsidP="0037743C">
      <w:pPr>
        <w:spacing w:after="0" w:line="240" w:lineRule="auto"/>
      </w:pPr>
      <w:r>
        <w:separator/>
      </w:r>
    </w:p>
  </w:endnote>
  <w:endnote w:type="continuationSeparator" w:id="0">
    <w:p w:rsidR="007D38B6" w:rsidRDefault="007D38B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AEC72D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943370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5579A9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B6" w:rsidRDefault="007D38B6" w:rsidP="0037743C">
      <w:pPr>
        <w:spacing w:after="0" w:line="240" w:lineRule="auto"/>
      </w:pPr>
      <w:r>
        <w:separator/>
      </w:r>
    </w:p>
  </w:footnote>
  <w:footnote w:type="continuationSeparator" w:id="0">
    <w:p w:rsidR="007D38B6" w:rsidRDefault="007D38B6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3"/>
    <w:rsid w:val="00016C11"/>
    <w:rsid w:val="000425F6"/>
    <w:rsid w:val="00075279"/>
    <w:rsid w:val="000E2C45"/>
    <w:rsid w:val="00206800"/>
    <w:rsid w:val="00273FD8"/>
    <w:rsid w:val="00275195"/>
    <w:rsid w:val="002F5ECB"/>
    <w:rsid w:val="003270C5"/>
    <w:rsid w:val="003309C2"/>
    <w:rsid w:val="0037743C"/>
    <w:rsid w:val="003E1E9B"/>
    <w:rsid w:val="003F783C"/>
    <w:rsid w:val="00400FAF"/>
    <w:rsid w:val="00425687"/>
    <w:rsid w:val="0046316E"/>
    <w:rsid w:val="0048709F"/>
    <w:rsid w:val="00501A9A"/>
    <w:rsid w:val="00523273"/>
    <w:rsid w:val="00555FE1"/>
    <w:rsid w:val="00583B23"/>
    <w:rsid w:val="005F496D"/>
    <w:rsid w:val="00632BB1"/>
    <w:rsid w:val="00636FE2"/>
    <w:rsid w:val="0069002D"/>
    <w:rsid w:val="006A6B87"/>
    <w:rsid w:val="00704FD6"/>
    <w:rsid w:val="00712321"/>
    <w:rsid w:val="00726D69"/>
    <w:rsid w:val="007327A6"/>
    <w:rsid w:val="00751AA2"/>
    <w:rsid w:val="007B03D6"/>
    <w:rsid w:val="007C70E3"/>
    <w:rsid w:val="007D38B6"/>
    <w:rsid w:val="008410BF"/>
    <w:rsid w:val="009775E0"/>
    <w:rsid w:val="009C3321"/>
    <w:rsid w:val="00A01D2E"/>
    <w:rsid w:val="00A92C80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36671"/>
    <w:rsid w:val="00E75E55"/>
    <w:rsid w:val="00E938FB"/>
    <w:rsid w:val="00ED7C90"/>
    <w:rsid w:val="00F14069"/>
    <w:rsid w:val="00F14543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F8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680BD2-F3C4-4AB0-A76F-773F2DB9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Название компании</cp:keywords>
  <cp:lastModifiedBy/>
  <cp:revision>1</cp:revision>
  <dcterms:created xsi:type="dcterms:W3CDTF">2023-11-18T06:31:00Z</dcterms:created>
  <dcterms:modified xsi:type="dcterms:W3CDTF">2023-11-18T08:19:00Z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